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 2-</w:t>
      </w:r>
      <w:r>
        <w:rPr>
          <w:rFonts w:ascii="Times New Roman" w:eastAsia="Times New Roman" w:hAnsi="Times New Roman" w:cs="Times New Roman"/>
          <w:sz w:val="26"/>
          <w:szCs w:val="26"/>
        </w:rPr>
        <w:t>1167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07 апреля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онда пенсионного и социального страхования 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едерации по Ханты-Мансийскому автономному округу – Югре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Кастнер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Ирине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sz w:val="28"/>
          <w:szCs w:val="28"/>
        </w:rPr>
        <w:t>взыскании неосновательного обогащения,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167,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233-235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>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Кастнер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UserDefinedgrp-18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grp-19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неосновательное обогащение в виде переплаченной ежемесячной компенсационной выплаты по уходу за ребенком-инвалидом за период с 01.11.2021 года по 31.12.2021 года в размере </w:t>
      </w:r>
      <w:r>
        <w:rPr>
          <w:rStyle w:val="cat-Sumgrp-13rplc-17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Кастнер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Ивановны (</w:t>
      </w:r>
      <w:r>
        <w:rPr>
          <w:rStyle w:val="cat-UserDefinedgrp-18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в размере </w:t>
      </w:r>
      <w:r>
        <w:rPr>
          <w:rStyle w:val="cat-Sumgrp-14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местного бюджета.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получения копии решения.</w:t>
      </w: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Л.Н. Солодовникова</w:t>
      </w:r>
    </w:p>
    <w:p>
      <w:pPr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8rplc-10">
    <w:name w:val="cat-UserDefined grp-18 rplc-10"/>
    <w:basedOn w:val="DefaultParagraphFont"/>
  </w:style>
  <w:style w:type="character" w:customStyle="1" w:styleId="cat-UserDefinedgrp-19rplc-14">
    <w:name w:val="cat-UserDefined grp-19 rplc-14"/>
    <w:basedOn w:val="DefaultParagraphFont"/>
  </w:style>
  <w:style w:type="character" w:customStyle="1" w:styleId="cat-Sumgrp-13rplc-17">
    <w:name w:val="cat-Sum grp-13 rplc-17"/>
    <w:basedOn w:val="DefaultParagraphFont"/>
  </w:style>
  <w:style w:type="character" w:customStyle="1" w:styleId="cat-UserDefinedgrp-18rplc-19">
    <w:name w:val="cat-UserDefined grp-18 rplc-19"/>
    <w:basedOn w:val="DefaultParagraphFont"/>
  </w:style>
  <w:style w:type="character" w:customStyle="1" w:styleId="cat-Sumgrp-14rplc-23">
    <w:name w:val="cat-Sum grp-14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